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4E" w:rsidRPr="006F424E" w:rsidRDefault="006F424E" w:rsidP="00B733D4">
      <w:pPr>
        <w:jc w:val="center"/>
        <w:rPr>
          <w:rFonts w:ascii="Perpetua" w:hAnsi="Perpetua" w:cs="Arial"/>
          <w:b/>
          <w:bCs/>
          <w:sz w:val="36"/>
          <w:szCs w:val="36"/>
        </w:rPr>
      </w:pPr>
      <w:bookmarkStart w:id="0" w:name="_GoBack"/>
      <w:bookmarkEnd w:id="0"/>
      <w:r w:rsidRPr="001422D7">
        <w:rPr>
          <w:rFonts w:ascii="Perpetua" w:hAnsi="Perpetua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8D55797" wp14:editId="0B8E29C7">
            <wp:simplePos x="0" y="0"/>
            <wp:positionH relativeFrom="column">
              <wp:posOffset>-247650</wp:posOffset>
            </wp:positionH>
            <wp:positionV relativeFrom="paragraph">
              <wp:posOffset>-438150</wp:posOffset>
            </wp:positionV>
            <wp:extent cx="971486" cy="958850"/>
            <wp:effectExtent l="0" t="0" r="635" b="0"/>
            <wp:wrapNone/>
            <wp:docPr id="2" name="Picture 2" descr="MWT Logo Tribal Court Logo (final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T Logo Tribal Court Logo (final)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86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24E">
        <w:rPr>
          <w:rFonts w:ascii="Perpetua" w:hAnsi="Perpetua" w:cs="Arial"/>
          <w:b/>
          <w:bCs/>
          <w:sz w:val="36"/>
          <w:szCs w:val="36"/>
        </w:rPr>
        <w:t>Mashpee Wampanoag Tribal Court</w:t>
      </w:r>
    </w:p>
    <w:p w:rsidR="006F424E" w:rsidRDefault="006F424E" w:rsidP="006F424E"/>
    <w:p w:rsidR="006F424E" w:rsidRDefault="006F424E" w:rsidP="006F424E"/>
    <w:p w:rsidR="006F424E" w:rsidRDefault="006F424E" w:rsidP="006F424E"/>
    <w:p w:rsidR="006F424E" w:rsidRPr="00765B75" w:rsidRDefault="006F424E" w:rsidP="00B733D4">
      <w:pPr>
        <w:tabs>
          <w:tab w:val="left" w:pos="3870"/>
        </w:tabs>
        <w:spacing w:after="0"/>
      </w:pPr>
      <w:r>
        <w:t>_____________________________________</w:t>
      </w:r>
      <w:r w:rsidR="00074476">
        <w:tab/>
      </w:r>
      <w:r w:rsidR="00074476">
        <w:tab/>
      </w:r>
      <w:r w:rsidR="00074476">
        <w:tab/>
      </w:r>
      <w:r w:rsidR="00074476">
        <w:tab/>
      </w:r>
      <w:r w:rsidR="00792CE9" w:rsidRPr="00792CE9">
        <w:rPr>
          <w:rFonts w:ascii="Times New Roman" w:hAnsi="Times New Roman" w:cs="Times New Roman"/>
          <w:sz w:val="24"/>
          <w:szCs w:val="24"/>
        </w:rPr>
        <w:t>Case</w:t>
      </w:r>
      <w:r w:rsidR="00074476" w:rsidRPr="00792CE9">
        <w:rPr>
          <w:rFonts w:ascii="Times New Roman" w:hAnsi="Times New Roman" w:cs="Times New Roman"/>
          <w:sz w:val="24"/>
          <w:szCs w:val="24"/>
        </w:rPr>
        <w:t xml:space="preserve"> N</w:t>
      </w:r>
      <w:r w:rsidR="00792CE9" w:rsidRPr="00792CE9">
        <w:rPr>
          <w:rFonts w:ascii="Times New Roman" w:hAnsi="Times New Roman" w:cs="Times New Roman"/>
          <w:sz w:val="24"/>
          <w:szCs w:val="24"/>
        </w:rPr>
        <w:t>o</w:t>
      </w:r>
      <w:r w:rsidR="00074476" w:rsidRPr="00792CE9">
        <w:rPr>
          <w:rFonts w:ascii="Times New Roman" w:hAnsi="Times New Roman" w:cs="Times New Roman"/>
          <w:sz w:val="24"/>
          <w:szCs w:val="24"/>
        </w:rPr>
        <w:t>:</w:t>
      </w:r>
      <w:r w:rsidR="00074476" w:rsidRPr="000941A0">
        <w:rPr>
          <w:rFonts w:ascii="Times New Roman" w:hAnsi="Times New Roman" w:cs="Times New Roman"/>
          <w:b/>
          <w:sz w:val="20"/>
        </w:rPr>
        <w:t xml:space="preserve"> </w:t>
      </w:r>
      <w:r w:rsidR="00074476" w:rsidRPr="00765B75">
        <w:rPr>
          <w:rFonts w:ascii="Times New Roman" w:hAnsi="Times New Roman" w:cs="Times New Roman"/>
          <w:szCs w:val="24"/>
        </w:rPr>
        <w:t>CV-16-001</w:t>
      </w:r>
    </w:p>
    <w:p w:rsidR="006F424E" w:rsidRPr="00404DE8" w:rsidRDefault="006F424E" w:rsidP="00B733D4">
      <w:pPr>
        <w:tabs>
          <w:tab w:val="right" w:pos="4140"/>
          <w:tab w:val="left" w:pos="6480"/>
        </w:tabs>
        <w:spacing w:after="0"/>
        <w:rPr>
          <w:lang w:val="fr-FR"/>
        </w:rPr>
      </w:pPr>
      <w:r w:rsidRPr="000941A0">
        <w:rPr>
          <w:rFonts w:ascii="Times New Roman" w:hAnsi="Times New Roman" w:cs="Times New Roman"/>
          <w:lang w:val="fr-FR"/>
        </w:rPr>
        <w:t>Daniel D. Tavares,</w:t>
      </w:r>
      <w:r w:rsidR="00B733D4">
        <w:rPr>
          <w:lang w:val="fr-FR"/>
        </w:rPr>
        <w:tab/>
      </w:r>
      <w:r w:rsidRPr="00404DE8">
        <w:rPr>
          <w:lang w:val="fr-FR"/>
        </w:rPr>
        <w:t>)</w:t>
      </w:r>
    </w:p>
    <w:p w:rsidR="006F424E" w:rsidRDefault="006F424E" w:rsidP="00B733D4">
      <w:pPr>
        <w:tabs>
          <w:tab w:val="right" w:pos="4140"/>
          <w:tab w:val="left" w:pos="6480"/>
        </w:tabs>
        <w:spacing w:after="0"/>
      </w:pPr>
      <w:r w:rsidRPr="00B31038">
        <w:rPr>
          <w:sz w:val="20"/>
        </w:rPr>
        <w:t>Plaintiff(s)</w:t>
      </w:r>
      <w:r w:rsidR="00B733D4">
        <w:tab/>
      </w:r>
      <w:r>
        <w:t>)</w:t>
      </w:r>
    </w:p>
    <w:p w:rsidR="00274FA6" w:rsidRDefault="006F424E" w:rsidP="00274FA6">
      <w:pPr>
        <w:tabs>
          <w:tab w:val="left" w:pos="3600"/>
        </w:tabs>
        <w:spacing w:after="0"/>
      </w:pPr>
      <w:r>
        <w:tab/>
      </w:r>
      <w:r w:rsidR="00074476">
        <w:t xml:space="preserve">         </w:t>
      </w:r>
      <w:r>
        <w:t>)</w:t>
      </w:r>
    </w:p>
    <w:p w:rsidR="006F424E" w:rsidRDefault="006F424E" w:rsidP="00274FA6">
      <w:pPr>
        <w:tabs>
          <w:tab w:val="left" w:pos="3600"/>
        </w:tabs>
        <w:spacing w:after="0"/>
      </w:pPr>
      <w:proofErr w:type="gramStart"/>
      <w:r>
        <w:t>v</w:t>
      </w:r>
      <w:proofErr w:type="gramEnd"/>
      <w:r>
        <w:t>.</w:t>
      </w:r>
      <w:r>
        <w:tab/>
      </w:r>
      <w:r w:rsidR="00274FA6">
        <w:t xml:space="preserve">         </w:t>
      </w:r>
      <w:r>
        <w:t>)</w:t>
      </w:r>
      <w:r>
        <w:tab/>
      </w:r>
    </w:p>
    <w:p w:rsidR="006F424E" w:rsidRPr="004E613E" w:rsidRDefault="006F424E" w:rsidP="00B733D4">
      <w:pPr>
        <w:tabs>
          <w:tab w:val="right" w:pos="4140"/>
          <w:tab w:val="left" w:pos="6480"/>
        </w:tabs>
        <w:spacing w:after="0"/>
      </w:pPr>
      <w:r>
        <w:tab/>
        <w:t>)</w:t>
      </w:r>
      <w:r w:rsidR="004E613E">
        <w:tab/>
      </w:r>
      <w:r w:rsidR="004E613E" w:rsidRPr="000941A0">
        <w:rPr>
          <w:rFonts w:ascii="Times New Roman" w:hAnsi="Times New Roman" w:cs="Times New Roman"/>
          <w:b/>
          <w:u w:val="single"/>
        </w:rPr>
        <w:t>DECISION</w:t>
      </w:r>
    </w:p>
    <w:p w:rsidR="006F424E" w:rsidRPr="008A4E7E" w:rsidRDefault="006F424E" w:rsidP="00B733D4">
      <w:pPr>
        <w:spacing w:after="0"/>
      </w:pPr>
      <w:r w:rsidRPr="008A4E7E">
        <w:tab/>
      </w:r>
      <w:r w:rsidR="00B733D4">
        <w:tab/>
      </w:r>
      <w:r w:rsidR="00B733D4">
        <w:tab/>
      </w:r>
      <w:r w:rsidR="00B733D4">
        <w:tab/>
      </w:r>
      <w:r w:rsidR="00B733D4">
        <w:tab/>
        <w:t xml:space="preserve">         </w:t>
      </w:r>
      <w:r w:rsidRPr="008A4E7E">
        <w:t>)</w:t>
      </w:r>
    </w:p>
    <w:p w:rsidR="006F424E" w:rsidRPr="008A4E7E" w:rsidRDefault="006F424E" w:rsidP="00B733D4">
      <w:pPr>
        <w:tabs>
          <w:tab w:val="right" w:pos="4140"/>
          <w:tab w:val="left" w:pos="6480"/>
        </w:tabs>
        <w:spacing w:after="0"/>
      </w:pPr>
      <w:r w:rsidRPr="000941A0">
        <w:rPr>
          <w:rFonts w:ascii="Times New Roman" w:hAnsi="Times New Roman" w:cs="Times New Roman"/>
        </w:rPr>
        <w:t>Mashpee Wampanoag Tribal Council,</w:t>
      </w:r>
      <w:r w:rsidRPr="008A4E7E">
        <w:tab/>
        <w:t>)</w:t>
      </w:r>
    </w:p>
    <w:p w:rsidR="006F424E" w:rsidRPr="008D3992" w:rsidRDefault="006F424E" w:rsidP="00B733D4">
      <w:pPr>
        <w:tabs>
          <w:tab w:val="right" w:pos="4140"/>
          <w:tab w:val="left" w:pos="6480"/>
        </w:tabs>
        <w:spacing w:after="0"/>
        <w:rPr>
          <w:u w:val="single"/>
        </w:rPr>
      </w:pPr>
      <w:r w:rsidRPr="00B31038">
        <w:rPr>
          <w:sz w:val="20"/>
          <w:u w:val="single"/>
        </w:rPr>
        <w:t>Defendant(s)</w:t>
      </w:r>
      <w:r w:rsidRPr="00701A00">
        <w:rPr>
          <w:u w:val="single"/>
        </w:rPr>
        <w:tab/>
      </w:r>
      <w:r>
        <w:t>)</w:t>
      </w:r>
    </w:p>
    <w:p w:rsidR="006F424E" w:rsidRDefault="006F424E" w:rsidP="006F424E">
      <w:pPr>
        <w:tabs>
          <w:tab w:val="right" w:pos="5220"/>
          <w:tab w:val="left" w:pos="6480"/>
        </w:tabs>
      </w:pPr>
    </w:p>
    <w:p w:rsidR="004E613E" w:rsidRDefault="004E613E" w:rsidP="006F424E">
      <w:pPr>
        <w:tabs>
          <w:tab w:val="right" w:pos="5220"/>
          <w:tab w:val="left" w:pos="6480"/>
        </w:tabs>
      </w:pPr>
    </w:p>
    <w:p w:rsidR="00261EDB" w:rsidRDefault="000E6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D. Tavares v. Mashpee Wampanoag Tribal Council</w:t>
      </w:r>
      <w:r w:rsidR="00D014D0">
        <w:rPr>
          <w:rFonts w:ascii="Times New Roman" w:hAnsi="Times New Roman" w:cs="Times New Roman"/>
          <w:sz w:val="24"/>
          <w:szCs w:val="24"/>
        </w:rPr>
        <w:t>, Inc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810" w:rsidRDefault="000E6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matter comes before th</w:t>
      </w:r>
      <w:r w:rsidR="008B50C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Court on a complaint filed by Plaintiff wherein he seeks this Court to order the Mashpee Wampanoag Tribe to file suit against various entities </w:t>
      </w:r>
      <w:r w:rsidR="008B50C0">
        <w:rPr>
          <w:rFonts w:ascii="Times New Roman" w:hAnsi="Times New Roman" w:cs="Times New Roman"/>
          <w:sz w:val="24"/>
          <w:szCs w:val="24"/>
        </w:rPr>
        <w:t xml:space="preserve">for the return of all lands within the Town of Mashpee. Plaintiff contends that the land-to-trust document allows the Tribe to file such an action. The Tribe, in defense of the complaint, has filed a motion to dismiss asserting lack of jurisdiction as a result of the tribal sovereign immunity. </w:t>
      </w:r>
    </w:p>
    <w:p w:rsidR="008B50C0" w:rsidRPr="007D600C" w:rsidRDefault="008B50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600C">
        <w:rPr>
          <w:rFonts w:ascii="Times New Roman" w:hAnsi="Times New Roman" w:cs="Times New Roman"/>
          <w:sz w:val="24"/>
          <w:szCs w:val="24"/>
          <w:u w:val="single"/>
        </w:rPr>
        <w:t>Issue Presented:</w:t>
      </w:r>
    </w:p>
    <w:p w:rsidR="008B50C0" w:rsidRDefault="008B5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sovereign immunity of the Mashpee Wampanoag Tribe extends to actions of the Mashpee Wampanoag Tribal Council, Inc.?</w:t>
      </w:r>
    </w:p>
    <w:p w:rsidR="00B04509" w:rsidRPr="007D600C" w:rsidRDefault="00B045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600C">
        <w:rPr>
          <w:rFonts w:ascii="Times New Roman" w:hAnsi="Times New Roman" w:cs="Times New Roman"/>
          <w:sz w:val="24"/>
          <w:szCs w:val="24"/>
          <w:u w:val="single"/>
        </w:rPr>
        <w:t>Discussion:</w:t>
      </w:r>
    </w:p>
    <w:p w:rsidR="00B04509" w:rsidRDefault="00D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complaint against the Mashpee Wampanoag Tribal Council, Inc. (“the Corporation”) as named defendant</w:t>
      </w:r>
      <w:r w:rsidR="001B57EF">
        <w:rPr>
          <w:rFonts w:ascii="Times New Roman" w:hAnsi="Times New Roman" w:cs="Times New Roman"/>
          <w:sz w:val="24"/>
          <w:szCs w:val="24"/>
        </w:rPr>
        <w:t xml:space="preserve"> (in actuality the name of the Corporation is the Mashpee Wampanoag Indian Tribal Council, Inc.)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defended by the Mashpee Wampanoag Tribe (“the Tribe) as successor in interest to the Corporation. On June 28, 2004 members of the Board of Directors of the Corporation adopted a Constitution that included By-laws that replaced any prior by-laws </w:t>
      </w:r>
      <w:r w:rsidR="000271C5">
        <w:rPr>
          <w:rFonts w:ascii="Times New Roman" w:hAnsi="Times New Roman" w:cs="Times New Roman"/>
          <w:sz w:val="24"/>
          <w:szCs w:val="24"/>
        </w:rPr>
        <w:t xml:space="preserve">governing operation of tribal affairs. </w:t>
      </w:r>
      <w:r w:rsidR="000271C5" w:rsidRPr="000271C5">
        <w:rPr>
          <w:rFonts w:ascii="Times New Roman" w:hAnsi="Times New Roman" w:cs="Times New Roman"/>
          <w:i/>
          <w:sz w:val="24"/>
          <w:szCs w:val="24"/>
        </w:rPr>
        <w:t xml:space="preserve">See </w:t>
      </w:r>
      <w:r w:rsidR="000271C5" w:rsidRPr="000271C5">
        <w:rPr>
          <w:rFonts w:ascii="Times New Roman" w:hAnsi="Times New Roman" w:cs="Times New Roman"/>
          <w:i/>
          <w:sz w:val="24"/>
          <w:szCs w:val="24"/>
          <w:u w:val="single"/>
        </w:rPr>
        <w:t>Constitution of the Mashpee Wampanoag Tribe By-laws of the Mashpee Wampanoag Tribal Council, Inc</w:t>
      </w:r>
      <w:r w:rsidR="000271C5" w:rsidRPr="000271C5">
        <w:rPr>
          <w:rFonts w:ascii="Times New Roman" w:hAnsi="Times New Roman" w:cs="Times New Roman"/>
          <w:i/>
          <w:sz w:val="24"/>
          <w:szCs w:val="24"/>
        </w:rPr>
        <w:t>. at p. 15 (06/28/2004).</w:t>
      </w:r>
      <w:r w:rsidR="000271C5">
        <w:rPr>
          <w:rFonts w:ascii="Times New Roman" w:hAnsi="Times New Roman" w:cs="Times New Roman"/>
          <w:sz w:val="24"/>
          <w:szCs w:val="24"/>
        </w:rPr>
        <w:t xml:space="preserve"> </w:t>
      </w:r>
      <w:r w:rsidR="000271C5" w:rsidRPr="00BF2523">
        <w:rPr>
          <w:rFonts w:ascii="Times New Roman" w:hAnsi="Times New Roman" w:cs="Times New Roman"/>
          <w:i/>
          <w:sz w:val="24"/>
          <w:szCs w:val="24"/>
        </w:rPr>
        <w:t xml:space="preserve">See also </w:t>
      </w:r>
      <w:r w:rsidR="000271C5" w:rsidRPr="00BF2523">
        <w:rPr>
          <w:rFonts w:ascii="Times New Roman" w:hAnsi="Times New Roman" w:cs="Times New Roman"/>
          <w:i/>
          <w:sz w:val="24"/>
          <w:szCs w:val="24"/>
          <w:u w:val="single"/>
        </w:rPr>
        <w:t xml:space="preserve">Annual Report to Secretary of Commonwealth </w:t>
      </w:r>
      <w:r w:rsidR="000271C5" w:rsidRPr="00BF2523">
        <w:rPr>
          <w:rFonts w:ascii="Times New Roman" w:hAnsi="Times New Roman" w:cs="Times New Roman"/>
          <w:i/>
          <w:sz w:val="24"/>
          <w:szCs w:val="24"/>
        </w:rPr>
        <w:t>(11/01/2004</w:t>
      </w:r>
      <w:r w:rsidR="000271C5">
        <w:rPr>
          <w:rFonts w:ascii="Times New Roman" w:hAnsi="Times New Roman" w:cs="Times New Roman"/>
          <w:sz w:val="24"/>
          <w:szCs w:val="24"/>
        </w:rPr>
        <w:t xml:space="preserve">). </w:t>
      </w:r>
      <w:r w:rsidR="001B57EF">
        <w:rPr>
          <w:rFonts w:ascii="Times New Roman" w:hAnsi="Times New Roman" w:cs="Times New Roman"/>
          <w:sz w:val="24"/>
          <w:szCs w:val="24"/>
        </w:rPr>
        <w:t>“Pursuant to 25 CFR 83.10(1</w:t>
      </w:r>
      <w:proofErr w:type="gramStart"/>
      <w:r w:rsidR="001B57E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1B57EF">
        <w:rPr>
          <w:rFonts w:ascii="Times New Roman" w:hAnsi="Times New Roman" w:cs="Times New Roman"/>
          <w:sz w:val="24"/>
          <w:szCs w:val="24"/>
        </w:rPr>
        <w:t xml:space="preserve">2) notice was given that the Department of the Interior (Department) has determined that the Mashpee Wampanoag Indian Tribal Council, Inc.  . . .  </w:t>
      </w:r>
      <w:proofErr w:type="gramStart"/>
      <w:r w:rsidR="001B57E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1B57EF">
        <w:rPr>
          <w:rFonts w:ascii="Times New Roman" w:hAnsi="Times New Roman" w:cs="Times New Roman"/>
          <w:sz w:val="24"/>
          <w:szCs w:val="24"/>
        </w:rPr>
        <w:t xml:space="preserve"> an Indian tribe within the meaning of Federal law.” </w:t>
      </w:r>
      <w:r w:rsidR="001B57EF" w:rsidRPr="001B57EF">
        <w:rPr>
          <w:rFonts w:ascii="Times New Roman" w:hAnsi="Times New Roman" w:cs="Times New Roman"/>
          <w:i/>
          <w:sz w:val="24"/>
          <w:szCs w:val="24"/>
        </w:rPr>
        <w:t xml:space="preserve">See </w:t>
      </w:r>
      <w:r w:rsidR="001B57EF" w:rsidRPr="001B57EF">
        <w:rPr>
          <w:rFonts w:ascii="Times New Roman" w:hAnsi="Times New Roman" w:cs="Times New Roman"/>
          <w:i/>
          <w:sz w:val="24"/>
          <w:szCs w:val="24"/>
          <w:u w:val="single"/>
        </w:rPr>
        <w:t>Federal Register</w:t>
      </w:r>
      <w:r w:rsidR="001B57EF" w:rsidRPr="001B57EF">
        <w:rPr>
          <w:rFonts w:ascii="Times New Roman" w:hAnsi="Times New Roman" w:cs="Times New Roman"/>
          <w:i/>
          <w:sz w:val="24"/>
          <w:szCs w:val="24"/>
        </w:rPr>
        <w:t xml:space="preserve"> Volume 72, No. 35 (Feb. 22, 2007) at 8007</w:t>
      </w:r>
      <w:r w:rsidR="001B57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0C" w:rsidRDefault="007D600C">
      <w:pPr>
        <w:rPr>
          <w:rFonts w:ascii="Times New Roman" w:hAnsi="Times New Roman" w:cs="Times New Roman"/>
          <w:sz w:val="24"/>
          <w:szCs w:val="24"/>
        </w:rPr>
      </w:pPr>
    </w:p>
    <w:p w:rsidR="001B57EF" w:rsidRDefault="001B5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Tribe has filed a Motion to Dismiss the Complaint citing lack of jurisdiction as a result of the Tribe’s sovereign immunity. This Court agrees</w:t>
      </w:r>
      <w:r w:rsidR="00E56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C13" w:rsidRDefault="00E5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Sovereign Immunity:</w:t>
      </w:r>
    </w:p>
    <w:p w:rsidR="00E56C13" w:rsidRDefault="00E5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94613">
        <w:rPr>
          <w:rFonts w:ascii="Times New Roman" w:hAnsi="Times New Roman" w:cs="Times New Roman"/>
          <w:sz w:val="24"/>
          <w:szCs w:val="24"/>
          <w:u w:val="single"/>
        </w:rPr>
        <w:t>Tribal Constitution</w:t>
      </w:r>
      <w:r>
        <w:rPr>
          <w:rFonts w:ascii="Times New Roman" w:hAnsi="Times New Roman" w:cs="Times New Roman"/>
          <w:sz w:val="24"/>
          <w:szCs w:val="24"/>
        </w:rPr>
        <w:t xml:space="preserve"> states: “this </w:t>
      </w:r>
      <w:r w:rsidR="00E61FBA">
        <w:rPr>
          <w:rFonts w:ascii="Times New Roman" w:hAnsi="Times New Roman" w:cs="Times New Roman"/>
          <w:sz w:val="24"/>
          <w:szCs w:val="24"/>
        </w:rPr>
        <w:t>Constitution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DD716C">
        <w:rPr>
          <w:rFonts w:ascii="Times New Roman" w:hAnsi="Times New Roman" w:cs="Times New Roman"/>
          <w:sz w:val="24"/>
          <w:szCs w:val="24"/>
        </w:rPr>
        <w:t>established for</w:t>
      </w:r>
      <w:r>
        <w:rPr>
          <w:rFonts w:ascii="Times New Roman" w:hAnsi="Times New Roman" w:cs="Times New Roman"/>
          <w:sz w:val="24"/>
          <w:szCs w:val="24"/>
        </w:rPr>
        <w:t xml:space="preserve"> the self-governance of the Mashpee Wampanoag Tribe as is our inherent right to do. </w:t>
      </w:r>
      <w:r w:rsidR="00E61FBA">
        <w:rPr>
          <w:rFonts w:ascii="Times New Roman" w:hAnsi="Times New Roman" w:cs="Times New Roman"/>
          <w:sz w:val="24"/>
          <w:szCs w:val="24"/>
        </w:rPr>
        <w:t xml:space="preserve">[Further] “the Tribal members being a  sovereign native people . . . do establish and adopt this Constitution to govern, protect and advance the common good of the Tribe for its future generations” </w:t>
      </w:r>
      <w:r w:rsidR="00E61FBA" w:rsidRPr="00E61FBA">
        <w:rPr>
          <w:rFonts w:ascii="Times New Roman" w:hAnsi="Times New Roman" w:cs="Times New Roman"/>
          <w:i/>
          <w:sz w:val="24"/>
          <w:szCs w:val="24"/>
          <w:u w:val="single"/>
        </w:rPr>
        <w:t>See Constitution of the Mashpee Wampanoag Tribe</w:t>
      </w:r>
      <w:r w:rsidR="00E61FBA" w:rsidRPr="00E61FBA">
        <w:rPr>
          <w:rFonts w:ascii="Times New Roman" w:hAnsi="Times New Roman" w:cs="Times New Roman"/>
          <w:i/>
          <w:sz w:val="24"/>
          <w:szCs w:val="24"/>
        </w:rPr>
        <w:t xml:space="preserve"> Preamble at 2. </w:t>
      </w:r>
    </w:p>
    <w:p w:rsidR="00E61FBA" w:rsidRDefault="00E61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 sovereign immunity “predates the birth of the Republic.”</w:t>
      </w:r>
      <w:r w:rsidRPr="00994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613">
        <w:rPr>
          <w:rFonts w:ascii="Times New Roman" w:hAnsi="Times New Roman" w:cs="Times New Roman"/>
          <w:i/>
          <w:sz w:val="24"/>
          <w:szCs w:val="24"/>
          <w:u w:val="single"/>
        </w:rPr>
        <w:t xml:space="preserve">Nuey v. Mashpee Wampanoag Tribe </w:t>
      </w:r>
      <w:r w:rsidRPr="00994613">
        <w:rPr>
          <w:rFonts w:ascii="Times New Roman" w:hAnsi="Times New Roman" w:cs="Times New Roman"/>
          <w:i/>
          <w:sz w:val="24"/>
          <w:szCs w:val="24"/>
        </w:rPr>
        <w:t xml:space="preserve">CV-08-001 (2010) citing </w:t>
      </w:r>
      <w:r w:rsidRPr="00994613">
        <w:rPr>
          <w:rFonts w:ascii="Times New Roman" w:hAnsi="Times New Roman" w:cs="Times New Roman"/>
          <w:i/>
          <w:sz w:val="24"/>
          <w:szCs w:val="24"/>
          <w:u w:val="single"/>
        </w:rPr>
        <w:t>Rhode Island v. Narragansett Indian Tribe</w:t>
      </w:r>
      <w:r w:rsidRPr="00994613">
        <w:rPr>
          <w:rFonts w:ascii="Times New Roman" w:hAnsi="Times New Roman" w:cs="Times New Roman"/>
          <w:i/>
          <w:sz w:val="24"/>
          <w:szCs w:val="24"/>
        </w:rPr>
        <w:t xml:space="preserve"> 19 F.3d 685,694 (1</w:t>
      </w:r>
      <w:r w:rsidRPr="00994613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994613">
        <w:rPr>
          <w:rFonts w:ascii="Times New Roman" w:hAnsi="Times New Roman" w:cs="Times New Roman"/>
          <w:i/>
          <w:sz w:val="24"/>
          <w:szCs w:val="24"/>
        </w:rPr>
        <w:t xml:space="preserve"> Cir. 1994).</w:t>
      </w:r>
    </w:p>
    <w:p w:rsidR="00E61FBA" w:rsidRDefault="00E61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United States and the Indian nations  . . . depends on affirmative statutor</w:t>
      </w:r>
      <w:r w:rsidR="00994613">
        <w:rPr>
          <w:rFonts w:ascii="Times New Roman" w:hAnsi="Times New Roman" w:cs="Times New Roman"/>
          <w:sz w:val="24"/>
          <w:szCs w:val="24"/>
        </w:rPr>
        <w:t xml:space="preserve">y authority.  Consent alone gives jurisdiction to adjudge against a sovereign.  Absent that consent, the attempted exercise of judicial power is void.” </w:t>
      </w:r>
      <w:r w:rsidR="00994613" w:rsidRPr="00994613">
        <w:rPr>
          <w:rFonts w:ascii="Times New Roman" w:hAnsi="Times New Roman" w:cs="Times New Roman"/>
          <w:i/>
          <w:sz w:val="24"/>
          <w:szCs w:val="24"/>
          <w:u w:val="single"/>
        </w:rPr>
        <w:t>Marie A. Stone v. Cedric Cromwell et.al.</w:t>
      </w:r>
      <w:r w:rsidR="00994613" w:rsidRPr="00994613">
        <w:rPr>
          <w:rFonts w:ascii="Times New Roman" w:hAnsi="Times New Roman" w:cs="Times New Roman"/>
          <w:i/>
          <w:sz w:val="24"/>
          <w:szCs w:val="24"/>
        </w:rPr>
        <w:t xml:space="preserve"> Wampanoag Tribe CV-12-001 </w:t>
      </w:r>
      <w:r w:rsidR="00994613">
        <w:rPr>
          <w:rFonts w:ascii="Times New Roman" w:hAnsi="Times New Roman" w:cs="Times New Roman"/>
          <w:i/>
          <w:sz w:val="24"/>
          <w:szCs w:val="24"/>
        </w:rPr>
        <w:t xml:space="preserve">at 6 </w:t>
      </w:r>
      <w:r w:rsidR="00994613" w:rsidRPr="00994613">
        <w:rPr>
          <w:rFonts w:ascii="Times New Roman" w:hAnsi="Times New Roman" w:cs="Times New Roman"/>
          <w:i/>
          <w:sz w:val="24"/>
          <w:szCs w:val="24"/>
        </w:rPr>
        <w:t xml:space="preserve">citing </w:t>
      </w:r>
      <w:r w:rsidR="00994613" w:rsidRPr="00994613">
        <w:rPr>
          <w:rFonts w:ascii="Times New Roman" w:hAnsi="Times New Roman" w:cs="Times New Roman"/>
          <w:i/>
          <w:sz w:val="24"/>
          <w:szCs w:val="24"/>
          <w:u w:val="single"/>
        </w:rPr>
        <w:t>Nuey, supra</w:t>
      </w:r>
      <w:r w:rsidR="00994613">
        <w:rPr>
          <w:rFonts w:ascii="Times New Roman" w:hAnsi="Times New Roman" w:cs="Times New Roman"/>
          <w:sz w:val="24"/>
          <w:szCs w:val="24"/>
        </w:rPr>
        <w:t xml:space="preserve">, and </w:t>
      </w:r>
      <w:r w:rsidR="00994613" w:rsidRPr="00994613">
        <w:rPr>
          <w:rFonts w:ascii="Times New Roman" w:hAnsi="Times New Roman" w:cs="Times New Roman"/>
          <w:i/>
          <w:sz w:val="24"/>
          <w:szCs w:val="24"/>
          <w:u w:val="single"/>
        </w:rPr>
        <w:t>United States v. Fidelity &amp; Guaranty Corp</w:t>
      </w:r>
      <w:r w:rsidR="00994613" w:rsidRPr="00994613">
        <w:rPr>
          <w:rFonts w:ascii="Times New Roman" w:hAnsi="Times New Roman" w:cs="Times New Roman"/>
          <w:i/>
          <w:sz w:val="24"/>
          <w:szCs w:val="24"/>
        </w:rPr>
        <w:t>. 309 U.S. 506, 512 (1940</w:t>
      </w:r>
      <w:r w:rsidR="0099461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2D2B" w:rsidRDefault="00AB4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 sovereign has established its affirmative defense of sovereign immunity, the claimant assumes the burden of establishing that the claim falls within a legislative waiver of immunity. </w:t>
      </w:r>
      <w:r w:rsidRPr="00AB47CA">
        <w:rPr>
          <w:rFonts w:ascii="Times New Roman" w:hAnsi="Times New Roman" w:cs="Times New Roman"/>
          <w:i/>
          <w:sz w:val="24"/>
          <w:szCs w:val="24"/>
          <w:u w:val="single"/>
        </w:rPr>
        <w:t>Stone v. Cromwell</w:t>
      </w:r>
      <w:r w:rsidRPr="00AB47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B47CA">
        <w:rPr>
          <w:rFonts w:ascii="Times New Roman" w:hAnsi="Times New Roman" w:cs="Times New Roman"/>
          <w:i/>
          <w:sz w:val="24"/>
          <w:szCs w:val="24"/>
          <w:u w:val="single"/>
        </w:rPr>
        <w:t>supra</w:t>
      </w:r>
      <w:r w:rsidRPr="00AB47CA">
        <w:rPr>
          <w:rFonts w:ascii="Times New Roman" w:hAnsi="Times New Roman" w:cs="Times New Roman"/>
          <w:i/>
          <w:sz w:val="24"/>
          <w:szCs w:val="24"/>
        </w:rPr>
        <w:t xml:space="preserve"> citing </w:t>
      </w:r>
      <w:r w:rsidRPr="00AB47CA">
        <w:rPr>
          <w:rFonts w:ascii="Times New Roman" w:hAnsi="Times New Roman" w:cs="Times New Roman"/>
          <w:i/>
          <w:sz w:val="24"/>
          <w:szCs w:val="24"/>
          <w:u w:val="single"/>
        </w:rPr>
        <w:t>Hwal’Bay Ga</w:t>
      </w:r>
      <w:r w:rsidR="00DD716C" w:rsidRPr="00AB47CA">
        <w:rPr>
          <w:rFonts w:ascii="Times New Roman" w:hAnsi="Times New Roman" w:cs="Times New Roman"/>
          <w:i/>
          <w:sz w:val="24"/>
          <w:szCs w:val="24"/>
          <w:u w:val="single"/>
        </w:rPr>
        <w:t>: Enterprises</w:t>
      </w:r>
      <w:r w:rsidRPr="00AB47CA">
        <w:rPr>
          <w:rFonts w:ascii="Times New Roman" w:hAnsi="Times New Roman" w:cs="Times New Roman"/>
          <w:i/>
          <w:sz w:val="24"/>
          <w:szCs w:val="24"/>
          <w:u w:val="single"/>
        </w:rPr>
        <w:t>, Inc, v. Beattie</w:t>
      </w:r>
      <w:r w:rsidRPr="00AB47CA">
        <w:rPr>
          <w:rFonts w:ascii="Times New Roman" w:hAnsi="Times New Roman" w:cs="Times New Roman"/>
          <w:i/>
          <w:sz w:val="24"/>
          <w:szCs w:val="24"/>
        </w:rPr>
        <w:t xml:space="preserve"> No. 2008-AP-007 (Hualapai 04/02/09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2D2B" w:rsidRPr="007D600C" w:rsidRDefault="003A2D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600C">
        <w:rPr>
          <w:rFonts w:ascii="Times New Roman" w:hAnsi="Times New Roman" w:cs="Times New Roman"/>
          <w:sz w:val="24"/>
          <w:szCs w:val="24"/>
          <w:u w:val="single"/>
        </w:rPr>
        <w:t>Conclusion:</w:t>
      </w:r>
    </w:p>
    <w:p w:rsidR="00AB47CA" w:rsidRDefault="00AB4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instant case Plaintiff has brought a claim against the Tribe seeking a Court order to bring suit. </w:t>
      </w:r>
      <w:r w:rsidR="003A2D2B">
        <w:rPr>
          <w:rFonts w:ascii="Times New Roman" w:hAnsi="Times New Roman" w:cs="Times New Roman"/>
          <w:sz w:val="24"/>
          <w:szCs w:val="24"/>
        </w:rPr>
        <w:t xml:space="preserve">A sovereign has the right and power to state when and how it may be sued and </w:t>
      </w:r>
      <w:r w:rsidR="00DD716C">
        <w:rPr>
          <w:rFonts w:ascii="Times New Roman" w:hAnsi="Times New Roman" w:cs="Times New Roman"/>
          <w:sz w:val="24"/>
          <w:szCs w:val="24"/>
        </w:rPr>
        <w:t>must</w:t>
      </w:r>
      <w:r w:rsidR="003A2D2B">
        <w:rPr>
          <w:rFonts w:ascii="Times New Roman" w:hAnsi="Times New Roman" w:cs="Times New Roman"/>
          <w:sz w:val="24"/>
          <w:szCs w:val="24"/>
        </w:rPr>
        <w:t xml:space="preserve"> be free from interference from unconsented litigation. Tribal immunity extends to claims for declaratory and injunctive relief. </w:t>
      </w:r>
      <w:r w:rsidR="003A2D2B" w:rsidRPr="003A2D2B">
        <w:rPr>
          <w:rFonts w:ascii="Times New Roman" w:hAnsi="Times New Roman" w:cs="Times New Roman"/>
          <w:i/>
          <w:sz w:val="24"/>
          <w:szCs w:val="24"/>
        </w:rPr>
        <w:t xml:space="preserve">See </w:t>
      </w:r>
      <w:r w:rsidR="003A2D2B" w:rsidRPr="003A2D2B">
        <w:rPr>
          <w:rFonts w:ascii="Times New Roman" w:hAnsi="Times New Roman" w:cs="Times New Roman"/>
          <w:i/>
          <w:sz w:val="24"/>
          <w:szCs w:val="24"/>
          <w:u w:val="single"/>
        </w:rPr>
        <w:t>Stone v. Cromwell, supra</w:t>
      </w:r>
      <w:r w:rsidR="003A2D2B" w:rsidRPr="003A2D2B">
        <w:rPr>
          <w:rFonts w:ascii="Times New Roman" w:hAnsi="Times New Roman" w:cs="Times New Roman"/>
          <w:i/>
          <w:sz w:val="24"/>
          <w:szCs w:val="24"/>
        </w:rPr>
        <w:t xml:space="preserve"> at 11</w:t>
      </w:r>
      <w:r w:rsidR="003A2D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Tribe has not consented to a waiver of its sovereign immunity.  Absent such a waiver </w:t>
      </w:r>
      <w:r w:rsidR="003A2D2B">
        <w:rPr>
          <w:rFonts w:ascii="Times New Roman" w:hAnsi="Times New Roman" w:cs="Times New Roman"/>
          <w:sz w:val="24"/>
          <w:szCs w:val="24"/>
        </w:rPr>
        <w:t xml:space="preserve">this Court lacks jurisdiction over this matter. </w:t>
      </w:r>
    </w:p>
    <w:p w:rsidR="003A2D2B" w:rsidRDefault="003A2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 jurisdiction in the case the Court makes no findings on subsequent filings on this matter by the Plaintiff.</w:t>
      </w:r>
    </w:p>
    <w:p w:rsidR="003A2D2B" w:rsidRPr="007D600C" w:rsidRDefault="003A2D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600C">
        <w:rPr>
          <w:rFonts w:ascii="Times New Roman" w:hAnsi="Times New Roman" w:cs="Times New Roman"/>
          <w:sz w:val="24"/>
          <w:szCs w:val="24"/>
          <w:u w:val="single"/>
        </w:rPr>
        <w:t>Order:</w:t>
      </w:r>
    </w:p>
    <w:p w:rsidR="003A2D2B" w:rsidRDefault="003A2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it is hereby </w:t>
      </w:r>
      <w:r w:rsidRPr="00467E5F">
        <w:rPr>
          <w:rFonts w:ascii="Times New Roman" w:hAnsi="Times New Roman" w:cs="Times New Roman"/>
          <w:b/>
          <w:sz w:val="24"/>
          <w:szCs w:val="24"/>
        </w:rPr>
        <w:t>ORDERED</w:t>
      </w:r>
      <w:r w:rsidR="00761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this twenty-eighth day of September, 2016 that Plaintiff’s Complaint is hereby </w:t>
      </w:r>
      <w:r w:rsidRPr="00467E5F">
        <w:rPr>
          <w:rFonts w:ascii="Times New Roman" w:hAnsi="Times New Roman" w:cs="Times New Roman"/>
          <w:b/>
          <w:sz w:val="24"/>
          <w:szCs w:val="24"/>
        </w:rPr>
        <w:t>DISMISSED</w:t>
      </w:r>
      <w:r>
        <w:rPr>
          <w:rFonts w:ascii="Times New Roman" w:hAnsi="Times New Roman" w:cs="Times New Roman"/>
          <w:sz w:val="24"/>
          <w:szCs w:val="24"/>
        </w:rPr>
        <w:t xml:space="preserve"> with prejudice.</w:t>
      </w:r>
    </w:p>
    <w:p w:rsidR="003A2D2B" w:rsidRDefault="003A2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COURT</w:t>
      </w:r>
    </w:p>
    <w:p w:rsidR="003A2D2B" w:rsidRDefault="003A2D2B">
      <w:pPr>
        <w:rPr>
          <w:rFonts w:ascii="Times New Roman" w:hAnsi="Times New Roman" w:cs="Times New Roman"/>
          <w:sz w:val="24"/>
          <w:szCs w:val="24"/>
        </w:rPr>
      </w:pPr>
    </w:p>
    <w:p w:rsidR="003A2D2B" w:rsidRDefault="003A2D2B" w:rsidP="00DE3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467E5F" w:rsidRPr="00E61FBA" w:rsidRDefault="00467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L. Madison, District Court Judge</w:t>
      </w:r>
      <w:r w:rsidR="00DE3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September 28, 2016</w:t>
      </w:r>
    </w:p>
    <w:sectPr w:rsidR="00467E5F" w:rsidRPr="00E61FBA" w:rsidSect="00B7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1UQF+8dEURlcO9Jye8kMTuDcQXguG1QuDAm1BL+GP9itpvMUYSVUBU0sGl8SUD7g6C7PnDMBcPzECyYlT2KaA==" w:salt="Oynzw5i5WvxYtOXGTc/Z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10"/>
    <w:rsid w:val="000271C5"/>
    <w:rsid w:val="00051FC9"/>
    <w:rsid w:val="00074476"/>
    <w:rsid w:val="000941A0"/>
    <w:rsid w:val="000E6810"/>
    <w:rsid w:val="001B57EF"/>
    <w:rsid w:val="00274FA6"/>
    <w:rsid w:val="002E44B6"/>
    <w:rsid w:val="003A2D2B"/>
    <w:rsid w:val="00467E5F"/>
    <w:rsid w:val="004E613E"/>
    <w:rsid w:val="00525FEF"/>
    <w:rsid w:val="006F424E"/>
    <w:rsid w:val="0076159B"/>
    <w:rsid w:val="00765B75"/>
    <w:rsid w:val="00792CE9"/>
    <w:rsid w:val="007D600C"/>
    <w:rsid w:val="00807791"/>
    <w:rsid w:val="008B50C0"/>
    <w:rsid w:val="00994613"/>
    <w:rsid w:val="009B3FEF"/>
    <w:rsid w:val="00AB47CA"/>
    <w:rsid w:val="00AF5921"/>
    <w:rsid w:val="00B04509"/>
    <w:rsid w:val="00B733D4"/>
    <w:rsid w:val="00BF2523"/>
    <w:rsid w:val="00C712A9"/>
    <w:rsid w:val="00CC3D35"/>
    <w:rsid w:val="00D014D0"/>
    <w:rsid w:val="00DD01C9"/>
    <w:rsid w:val="00DD716C"/>
    <w:rsid w:val="00DE3B2C"/>
    <w:rsid w:val="00E56C13"/>
    <w:rsid w:val="00E61FBA"/>
    <w:rsid w:val="00F20635"/>
    <w:rsid w:val="00F5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4C6DE-7935-4010-9DDA-66FE5BFD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644</Words>
  <Characters>3676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Madison</dc:creator>
  <cp:lastModifiedBy>Michele Forrester</cp:lastModifiedBy>
  <cp:revision>15</cp:revision>
  <cp:lastPrinted>2016-09-28T19:58:00Z</cp:lastPrinted>
  <dcterms:created xsi:type="dcterms:W3CDTF">2016-09-29T13:22:00Z</dcterms:created>
  <dcterms:modified xsi:type="dcterms:W3CDTF">2016-10-12T17:41:00Z</dcterms:modified>
</cp:coreProperties>
</file>